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10693400</wp:posOffset>
            </wp:positionV>
            <wp:extent cx="469900" cy="444500"/>
            <wp:effectExtent l="0" t="0" r="254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教案设计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主备人：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3213"/>
        <w:gridCol w:w="902"/>
        <w:gridCol w:w="1325"/>
        <w:gridCol w:w="923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版本</w:t>
            </w:r>
          </w:p>
        </w:tc>
        <w:tc>
          <w:tcPr>
            <w:tcW w:w="321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人教版（2016年部编版）</w:t>
            </w:r>
          </w:p>
        </w:tc>
        <w:tc>
          <w:tcPr>
            <w:tcW w:w="90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课型</w:t>
            </w:r>
          </w:p>
        </w:tc>
        <w:tc>
          <w:tcPr>
            <w:tcW w:w="132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新授课</w:t>
            </w:r>
          </w:p>
        </w:tc>
        <w:tc>
          <w:tcPr>
            <w:tcW w:w="92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课时</w:t>
            </w:r>
          </w:p>
        </w:tc>
        <w:tc>
          <w:tcPr>
            <w:tcW w:w="1378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第二课时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课题</w:t>
            </w:r>
          </w:p>
        </w:tc>
        <w:tc>
          <w:tcPr>
            <w:tcW w:w="7741" w:type="dxa"/>
            <w:gridSpan w:val="5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第三课青春的证明  第二框青春有格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一、教材内容分析：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第二框“青春有格”,从解读“格”字切入,引导学生在探索青春的过程中,学会把握青春。让青春经历告诉自己,青春需要坚守底线,做到“行已有耻”,有所为,有所不为。青春需要格调,追求“至善”的人生境界,是对青春最好的证明，能让青春绽放出绚丽的光彩和持久的光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二、学习目标：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1.情感、态度和价值观目标：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感受青春的魅力,释放青春的活力,激发青春的热情,树立自信、自强的青春态度,追求“至善”的人生境界。</w:t>
            </w:r>
          </w:p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认同中华优秀传统文化,增强公民意识和法治观念。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2.能力目标：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学会辩证、理性地对待青春，能够在比较复杂的社会生活中作出正确的道德判断和选择。</w:t>
            </w:r>
          </w:p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体验行为和后果的联系,学会对自己的行为负责。</w:t>
            </w:r>
          </w:p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重视修身，养成自我省察的习惯,做到慎独。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3.知识目标：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知道“行己有耻”“止于至善”的内涵和要求。</w:t>
            </w:r>
          </w:p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懂得如何把握青春。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三、教学重难点：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理解“行己有耻”和“止于至善”的内涵和要求。</w:t>
            </w:r>
          </w:p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学会对自己负责，重视修身，慎独。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四、教学方法和资源准备：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1.教学方法：</w:t>
            </w:r>
            <w:r>
              <w:rPr>
                <w:rFonts w:ascii="宋体" w:hAnsi="宋体" w:eastAsia="宋体"/>
                <w:sz w:val="28"/>
                <w:szCs w:val="28"/>
              </w:rPr>
              <w:t>讲授法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/>
                <w:sz w:val="28"/>
                <w:szCs w:val="28"/>
              </w:rPr>
              <w:t>情景教学法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2.资源准备：多媒体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五、教学过程：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781" w:type="dxa"/>
          </w:tcPr>
          <w:p>
            <w:pPr>
              <w:tabs>
                <w:tab w:val="left" w:pos="1183"/>
              </w:tabs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活动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ab/>
            </w:r>
          </w:p>
        </w:tc>
        <w:tc>
          <w:tcPr>
            <w:tcW w:w="6363" w:type="dxa"/>
            <w:gridSpan w:val="4"/>
          </w:tcPr>
          <w:p>
            <w:pPr>
              <w:tabs>
                <w:tab w:val="left" w:pos="1183"/>
              </w:tabs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教师、学生活动</w:t>
            </w:r>
          </w:p>
        </w:tc>
        <w:tc>
          <w:tcPr>
            <w:tcW w:w="1378" w:type="dxa"/>
          </w:tcPr>
          <w:p>
            <w:pPr>
              <w:tabs>
                <w:tab w:val="left" w:pos="1183"/>
              </w:tabs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781" w:type="dxa"/>
          </w:tcPr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</w:t>
            </w: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堂</w:t>
            </w: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</w:t>
            </w: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</w:t>
            </w: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流</w:t>
            </w: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tabs>
                <w:tab w:val="left" w:pos="1183"/>
              </w:tabs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程</w:t>
            </w:r>
          </w:p>
        </w:tc>
        <w:tc>
          <w:tcPr>
            <w:tcW w:w="6363" w:type="dxa"/>
            <w:gridSpan w:val="4"/>
          </w:tcPr>
          <w:p>
            <w:pPr>
              <w:numPr>
                <w:ilvl w:val="0"/>
                <w:numId w:val="1"/>
              </w:numPr>
              <w:tabs>
                <w:tab w:val="left" w:pos="1183"/>
              </w:tabs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导入新课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展示PPT中的田字格，这是我们熟悉的田字格，儿时练字我们为什么用田字格练字呢？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青春有格：不意味着肆意放纵，总有一些基本规则不能违反，一些基本界限不能逾越。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板书课题：青春有格</w:t>
            </w:r>
          </w:p>
          <w:p>
            <w:pPr>
              <w:numPr>
                <w:ilvl w:val="0"/>
                <w:numId w:val="1"/>
              </w:numPr>
              <w:tabs>
                <w:tab w:val="left" w:pos="1183"/>
              </w:tabs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讲授新课</w:t>
            </w:r>
          </w:p>
          <w:p>
            <w:p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青春有格要求我们怎么做呢？</w:t>
            </w:r>
          </w:p>
          <w:p>
            <w:pPr>
              <w:numPr>
                <w:ilvl w:val="0"/>
                <w:numId w:val="2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行己有耻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师：行己有耻，即一个人行事，凡自己认为可耻的就不去做。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学生观赏视频，得出：①我们要知廉耻，懂荣辱，有所为，有所不为。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师：在生活中，我们遇到哪些你认为没有“行己有耻”的行为和现象？（可从学习、生活、社会等方面思考）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出示图片：破坏环境；没有遵守公共秩序；没有遵守交通规则；没有尊重社会公德和传统美德。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总结：②“行己有耻”需要我们有知耻之心，不断提高辨别“耻”的能力。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完成教材28页的“探究与分享”有人认为，只要不被发现，说谎、欺骗等也是可以的。你如何看待这一观点？为什么？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这种观点是错误的。说谎、欺骗是不诚信的表现，是不良的道德品质，严重者可能会构成违法犯罪；做人要有自己的底线意识,触碰道德底线的事情不做,违反法律的事情坚决不做。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总结：</w:t>
            </w: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③我们要真诚面对自我，闻过即改，知耻而后勇。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出示PPT“解疑答惑”得出总结：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④“行己有耻”更需要我们磨砺意志，拒绝不良诱惑，不断增强自控力。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⑤树立底线意识，触碰道德底线的事情不做，违反法律的事情坚决不做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教师小结第一个问题，过渡到第二个问题。</w:t>
            </w:r>
          </w:p>
          <w:p>
            <w:pPr>
              <w:numPr>
                <w:ilvl w:val="0"/>
                <w:numId w:val="2"/>
              </w:numPr>
              <w:tabs>
                <w:tab w:val="left" w:pos="1183"/>
              </w:tabs>
              <w:ind w:left="0" w:leftChars="0"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至于至善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师生共同观看视频：致敬疫情中的平凡人，视频中哪一幕最让你感动？为什么？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学生各抒己见。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阅读教材29页到32页。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教师总结：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1.什么是“止于至善”？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“止于至善”是人的一种精神境界，是一种“虽不能至，心向往之”的实践过程，是一种向往美好、永不言弃的精神状态。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2.“止于至善”需要我们怎么做？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（1）从点滴小事做起，积少成多，积善成德。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（2）在生活中寻找“贤”并将他们作为榜样。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①榜样是一面旗帜。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②好的榜样昭示着做人、做事的基本态度，激发我们对人生道路和理想的思考，给予我们自我完善的力量。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③善于寻找好的榜样，向榜样学习，汲取榜样的力量，我们的社会、国家才会变得更好。</w:t>
            </w:r>
          </w:p>
          <w:p>
            <w:pPr>
              <w:numPr>
                <w:ilvl w:val="0"/>
                <w:numId w:val="3"/>
              </w:numPr>
              <w:tabs>
                <w:tab w:val="left" w:pos="1183"/>
              </w:tabs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养成自我省察的习惯，通过自省和慎独，端正自身行为。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活动：学生自我审察，展示PPT。         </w:t>
            </w:r>
          </w:p>
          <w:p>
            <w:pPr>
              <w:numPr>
                <w:ilvl w:val="0"/>
                <w:numId w:val="1"/>
              </w:numPr>
              <w:tabs>
                <w:tab w:val="left" w:pos="1183"/>
              </w:tabs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课堂小结</w:t>
            </w:r>
          </w:p>
          <w:p>
            <w:pPr>
              <w:numPr>
                <w:ilvl w:val="0"/>
                <w:numId w:val="0"/>
              </w:numPr>
              <w:tabs>
                <w:tab w:val="left" w:pos="1183"/>
              </w:tabs>
              <w:ind w:leftChars="0" w:firstLine="56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见板术设计。</w:t>
            </w:r>
          </w:p>
        </w:tc>
        <w:tc>
          <w:tcPr>
            <w:tcW w:w="1378" w:type="dxa"/>
          </w:tcPr>
          <w:p>
            <w:pPr>
              <w:tabs>
                <w:tab w:val="left" w:pos="1183"/>
              </w:tabs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522" w:type="dxa"/>
            <w:gridSpan w:val="6"/>
          </w:tcPr>
          <w:p>
            <w:pPr>
              <w:tabs>
                <w:tab w:val="left" w:pos="1183"/>
              </w:tabs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六、作业设计：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疫情期间，提到战疫英雄，我们脑海中最先浮现都是奔赴前线的白衣天使们，其实在我们身边也有许多无名英雄。找一找身边的战疫英雄并对他们做一次线上采访，了解他们的疫情防控工作，分享他们的感人事迹，并谈谈对你产生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七、板书设计：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5273675" cy="3446780"/>
                  <wp:effectExtent l="0" t="0" r="3175" b="1270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675" cy="344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八、教学反思：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8AAA06"/>
    <w:multiLevelType w:val="singleLevel"/>
    <w:tmpl w:val="EA8AAA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9089BF"/>
    <w:multiLevelType w:val="singleLevel"/>
    <w:tmpl w:val="479089B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4509C2B"/>
    <w:multiLevelType w:val="singleLevel"/>
    <w:tmpl w:val="54509C2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D506EF"/>
    <w:rsid w:val="004151FC"/>
    <w:rsid w:val="00C02FC6"/>
    <w:rsid w:val="07CA6972"/>
    <w:rsid w:val="08CA5840"/>
    <w:rsid w:val="20D506EF"/>
    <w:rsid w:val="39DD78B1"/>
    <w:rsid w:val="47673080"/>
    <w:rsid w:val="5BE740FC"/>
    <w:rsid w:val="7DE7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1510</Words>
  <Characters>1544</Characters>
  <Lines>0</Lines>
  <Paragraphs>0</Paragraphs>
  <TotalTime>3</TotalTime>
  <ScaleCrop>false</ScaleCrop>
  <LinksUpToDate>false</LinksUpToDate>
  <CharactersWithSpaces>1564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2022-03-17T07:38:00Z</dcterms:created>
  <dc:creator>momo</dc:creator>
  <cp:lastModifiedBy>momo</cp:lastModifiedBy>
  <dcterms:modified xsi:type="dcterms:W3CDTF">2022-03-30T10:38:18Z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33DB8C83D0B54EC59A988FE931BFDE45</vt:lpwstr>
  </property>
</Properties>
</file>